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50" w:type="dxa"/>
        <w:jc w:val="center"/>
        <w:tblCellMar>
          <w:left w:w="0" w:type="dxa"/>
          <w:right w:w="0" w:type="dxa"/>
        </w:tblCellMar>
        <w:tblLook w:val="04A0" w:firstRow="1" w:lastRow="0" w:firstColumn="1" w:lastColumn="0" w:noHBand="0" w:noVBand="1"/>
      </w:tblPr>
      <w:tblGrid>
        <w:gridCol w:w="10530"/>
      </w:tblGrid>
      <w:tr w:rsidR="003B5D0F" w14:paraId="0B8E29B6" w14:textId="77777777" w:rsidTr="003B5D0F">
        <w:trPr>
          <w:trHeight w:val="195"/>
          <w:jc w:val="center"/>
        </w:trPr>
        <w:tc>
          <w:tcPr>
            <w:tcW w:w="0" w:type="auto"/>
            <w:vAlign w:val="center"/>
            <w:hideMark/>
          </w:tcPr>
          <w:tbl>
            <w:tblPr>
              <w:tblW w:w="10530" w:type="dxa"/>
              <w:tblCellMar>
                <w:left w:w="0" w:type="dxa"/>
                <w:right w:w="0" w:type="dxa"/>
              </w:tblCellMar>
              <w:tblLook w:val="04A0" w:firstRow="1" w:lastRow="0" w:firstColumn="1" w:lastColumn="0" w:noHBand="0" w:noVBand="1"/>
            </w:tblPr>
            <w:tblGrid>
              <w:gridCol w:w="9360"/>
              <w:gridCol w:w="390"/>
              <w:gridCol w:w="390"/>
              <w:gridCol w:w="390"/>
            </w:tblGrid>
            <w:tr w:rsidR="003B5D0F" w14:paraId="1AFF74F0" w14:textId="77777777">
              <w:trPr>
                <w:trHeight w:val="195"/>
              </w:trPr>
              <w:tc>
                <w:tcPr>
                  <w:tcW w:w="9360" w:type="dxa"/>
                  <w:shd w:val="clear" w:color="auto" w:fill="000000"/>
                  <w:vAlign w:val="center"/>
                  <w:hideMark/>
                </w:tcPr>
                <w:p w14:paraId="194C962D" w14:textId="77777777" w:rsidR="003B5D0F" w:rsidRDefault="003B5D0F" w:rsidP="00711C65">
                  <w:pPr>
                    <w:jc w:val="both"/>
                    <w:rPr>
                      <w:rFonts w:ascii="Times New Roman" w:hAnsi="Times New Roman" w:cs="Times New Roman"/>
                      <w:color w:val="FFFFFF"/>
                      <w:sz w:val="24"/>
                      <w:szCs w:val="24"/>
                    </w:rPr>
                  </w:pPr>
                  <w:r>
                    <w:rPr>
                      <w:rFonts w:ascii="Times New Roman" w:hAnsi="Times New Roman" w:cs="Times New Roman"/>
                      <w:color w:val="FFFFFF"/>
                      <w:sz w:val="2"/>
                      <w:szCs w:val="2"/>
                    </w:rPr>
                    <w:t> </w:t>
                  </w:r>
                </w:p>
              </w:tc>
              <w:tc>
                <w:tcPr>
                  <w:tcW w:w="390" w:type="dxa"/>
                  <w:shd w:val="clear" w:color="auto" w:fill="906700"/>
                  <w:vAlign w:val="center"/>
                  <w:hideMark/>
                </w:tcPr>
                <w:p w14:paraId="2A29EABB" w14:textId="77777777" w:rsidR="003B5D0F" w:rsidRDefault="003B5D0F" w:rsidP="00711C65">
                  <w:pPr>
                    <w:jc w:val="both"/>
                    <w:rPr>
                      <w:rFonts w:ascii="Times New Roman" w:hAnsi="Times New Roman" w:cs="Times New Roman"/>
                      <w:color w:val="222222"/>
                      <w:sz w:val="24"/>
                      <w:szCs w:val="24"/>
                    </w:rPr>
                  </w:pPr>
                  <w:r>
                    <w:rPr>
                      <w:rFonts w:ascii="Times New Roman" w:hAnsi="Times New Roman" w:cs="Times New Roman"/>
                      <w:color w:val="222222"/>
                      <w:sz w:val="2"/>
                      <w:szCs w:val="2"/>
                    </w:rPr>
                    <w:t> </w:t>
                  </w:r>
                </w:p>
              </w:tc>
              <w:tc>
                <w:tcPr>
                  <w:tcW w:w="390" w:type="dxa"/>
                  <w:shd w:val="clear" w:color="auto" w:fill="C08900"/>
                  <w:vAlign w:val="center"/>
                  <w:hideMark/>
                </w:tcPr>
                <w:p w14:paraId="251ECC1F" w14:textId="77777777" w:rsidR="003B5D0F" w:rsidRDefault="003B5D0F" w:rsidP="00711C65">
                  <w:pPr>
                    <w:jc w:val="both"/>
                    <w:rPr>
                      <w:rFonts w:ascii="Times New Roman" w:hAnsi="Times New Roman" w:cs="Times New Roman"/>
                      <w:color w:val="222222"/>
                      <w:sz w:val="24"/>
                      <w:szCs w:val="24"/>
                    </w:rPr>
                  </w:pPr>
                  <w:r>
                    <w:rPr>
                      <w:rFonts w:ascii="Times New Roman" w:hAnsi="Times New Roman" w:cs="Times New Roman"/>
                      <w:color w:val="222222"/>
                      <w:sz w:val="2"/>
                      <w:szCs w:val="2"/>
                    </w:rPr>
                    <w:t> </w:t>
                  </w:r>
                </w:p>
              </w:tc>
              <w:tc>
                <w:tcPr>
                  <w:tcW w:w="390" w:type="dxa"/>
                  <w:shd w:val="clear" w:color="auto" w:fill="F0AB00"/>
                  <w:vAlign w:val="center"/>
                  <w:hideMark/>
                </w:tcPr>
                <w:p w14:paraId="29897FFA" w14:textId="77777777" w:rsidR="003B5D0F" w:rsidRDefault="003B5D0F" w:rsidP="00711C65">
                  <w:pPr>
                    <w:jc w:val="both"/>
                    <w:rPr>
                      <w:rFonts w:ascii="Times New Roman" w:hAnsi="Times New Roman" w:cs="Times New Roman"/>
                      <w:color w:val="222222"/>
                      <w:sz w:val="24"/>
                      <w:szCs w:val="24"/>
                    </w:rPr>
                  </w:pPr>
                  <w:r>
                    <w:rPr>
                      <w:rFonts w:ascii="Times New Roman" w:hAnsi="Times New Roman" w:cs="Times New Roman"/>
                      <w:color w:val="222222"/>
                      <w:sz w:val="2"/>
                      <w:szCs w:val="2"/>
                    </w:rPr>
                    <w:t> </w:t>
                  </w:r>
                </w:p>
              </w:tc>
            </w:tr>
          </w:tbl>
          <w:p w14:paraId="5535C9DE" w14:textId="77777777" w:rsidR="003B5D0F" w:rsidRDefault="003B5D0F" w:rsidP="00711C65">
            <w:pPr>
              <w:jc w:val="both"/>
              <w:rPr>
                <w:rFonts w:asciiTheme="minorHAnsi" w:hAnsiTheme="minorHAnsi" w:cstheme="minorBidi"/>
                <w:sz w:val="20"/>
                <w:szCs w:val="20"/>
              </w:rPr>
            </w:pPr>
          </w:p>
        </w:tc>
      </w:tr>
      <w:tr w:rsidR="003B5D0F" w14:paraId="3823BE15" w14:textId="77777777" w:rsidTr="003B5D0F">
        <w:trPr>
          <w:jc w:val="center"/>
        </w:trPr>
        <w:tc>
          <w:tcPr>
            <w:tcW w:w="0" w:type="auto"/>
            <w:vAlign w:val="center"/>
            <w:hideMark/>
          </w:tcPr>
          <w:tbl>
            <w:tblPr>
              <w:tblW w:w="9450" w:type="dxa"/>
              <w:tblCellMar>
                <w:left w:w="0" w:type="dxa"/>
                <w:right w:w="0" w:type="dxa"/>
              </w:tblCellMar>
              <w:tblLook w:val="04A0" w:firstRow="1" w:lastRow="0" w:firstColumn="1" w:lastColumn="0" w:noHBand="0" w:noVBand="1"/>
            </w:tblPr>
            <w:tblGrid>
              <w:gridCol w:w="6"/>
              <w:gridCol w:w="10338"/>
              <w:gridCol w:w="6"/>
            </w:tblGrid>
            <w:tr w:rsidR="003B5D0F" w14:paraId="612D702B" w14:textId="77777777">
              <w:tc>
                <w:tcPr>
                  <w:tcW w:w="375" w:type="dxa"/>
                  <w:vAlign w:val="center"/>
                  <w:hideMark/>
                </w:tcPr>
                <w:p w14:paraId="67E2D959" w14:textId="77777777" w:rsidR="003B5D0F" w:rsidRDefault="003B5D0F" w:rsidP="00711C65">
                  <w:pPr>
                    <w:jc w:val="both"/>
                    <w:rPr>
                      <w:rFonts w:ascii="Times New Roman" w:hAnsi="Times New Roman" w:cs="Times New Roman"/>
                      <w:color w:val="222222"/>
                      <w:sz w:val="24"/>
                      <w:szCs w:val="24"/>
                    </w:rPr>
                  </w:pPr>
                  <w:r>
                    <w:rPr>
                      <w:rFonts w:ascii="Times New Roman" w:hAnsi="Times New Roman" w:cs="Times New Roman"/>
                      <w:color w:val="222222"/>
                      <w:sz w:val="2"/>
                      <w:szCs w:val="2"/>
                    </w:rPr>
                    <w:t> </w:t>
                  </w:r>
                  <w:r>
                    <w:rPr>
                      <w:rFonts w:ascii="Times New Roman" w:hAnsi="Times New Roman" w:cs="Times New Roman"/>
                      <w:color w:val="222222"/>
                      <w:sz w:val="24"/>
                      <w:szCs w:val="24"/>
                    </w:rPr>
                    <w:t xml:space="preserve"> </w:t>
                  </w:r>
                </w:p>
              </w:tc>
              <w:tc>
                <w:tcPr>
                  <w:tcW w:w="0" w:type="auto"/>
                  <w:vAlign w:val="center"/>
                  <w:hideMark/>
                </w:tcPr>
                <w:tbl>
                  <w:tblPr>
                    <w:tblW w:w="10170" w:type="dxa"/>
                    <w:tblCellMar>
                      <w:left w:w="0" w:type="dxa"/>
                      <w:right w:w="0" w:type="dxa"/>
                    </w:tblCellMar>
                    <w:tblLook w:val="04A0" w:firstRow="1" w:lastRow="0" w:firstColumn="1" w:lastColumn="0" w:noHBand="0" w:noVBand="1"/>
                  </w:tblPr>
                  <w:tblGrid>
                    <w:gridCol w:w="10338"/>
                  </w:tblGrid>
                  <w:tr w:rsidR="003B5D0F" w14:paraId="47204CF6" w14:textId="77777777" w:rsidTr="003B5D0F">
                    <w:trPr>
                      <w:trHeight w:val="972"/>
                    </w:trPr>
                    <w:tc>
                      <w:tcPr>
                        <w:tcW w:w="0" w:type="auto"/>
                        <w:vAlign w:val="center"/>
                        <w:hideMark/>
                      </w:tcPr>
                      <w:tbl>
                        <w:tblPr>
                          <w:tblW w:w="8700" w:type="dxa"/>
                          <w:jc w:val="center"/>
                          <w:tblCellMar>
                            <w:left w:w="0" w:type="dxa"/>
                            <w:right w:w="0" w:type="dxa"/>
                          </w:tblCellMar>
                          <w:tblLook w:val="04A0" w:firstRow="1" w:lastRow="0" w:firstColumn="1" w:lastColumn="0" w:noHBand="0" w:noVBand="1"/>
                        </w:tblPr>
                        <w:tblGrid>
                          <w:gridCol w:w="8700"/>
                        </w:tblGrid>
                        <w:tr w:rsidR="003B5D0F" w14:paraId="497295DF" w14:textId="77777777" w:rsidTr="003B5D0F">
                          <w:trPr>
                            <w:trHeight w:val="792"/>
                            <w:jc w:val="center"/>
                          </w:trPr>
                          <w:tc>
                            <w:tcPr>
                              <w:tcW w:w="8700" w:type="dxa"/>
                              <w:vAlign w:val="center"/>
                              <w:hideMark/>
                            </w:tcPr>
                            <w:p w14:paraId="04B907F3" w14:textId="77777777" w:rsidR="003B5D0F" w:rsidRDefault="003B5D0F" w:rsidP="00711C65">
                              <w:pPr>
                                <w:jc w:val="both"/>
                                <w:rPr>
                                  <w:rFonts w:ascii="Times New Roman" w:hAnsi="Times New Roman" w:cs="Times New Roman"/>
                                  <w:color w:val="222222"/>
                                  <w:sz w:val="24"/>
                                  <w:szCs w:val="24"/>
                                </w:rPr>
                              </w:pPr>
                              <w:r>
                                <w:rPr>
                                  <w:noProof/>
                                </w:rPr>
                                <w:drawing>
                                  <wp:anchor distT="0" distB="0" distL="0" distR="0" simplePos="0" relativeHeight="251658240" behindDoc="0" locked="0" layoutInCell="1" allowOverlap="0" wp14:anchorId="2C53A6DA" wp14:editId="2034B19E">
                                    <wp:simplePos x="0" y="0"/>
                                    <wp:positionH relativeFrom="column">
                                      <wp:align>left</wp:align>
                                    </wp:positionH>
                                    <wp:positionV relativeFrom="line">
                                      <wp:posOffset>0</wp:posOffset>
                                    </wp:positionV>
                                    <wp:extent cx="1333500" cy="533400"/>
                                    <wp:effectExtent l="0" t="0" r="0" b="0"/>
                                    <wp:wrapSquare wrapText="bothSides"/>
                                    <wp:docPr id="2" name="Picture 2" descr="S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P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533400"/>
                                            </a:xfrm>
                                            <a:prstGeom prst="rect">
                                              <a:avLst/>
                                            </a:prstGeom>
                                            <a:noFill/>
                                          </pic:spPr>
                                        </pic:pic>
                                      </a:graphicData>
                                    </a:graphic>
                                    <wp14:sizeRelH relativeFrom="page">
                                      <wp14:pctWidth>0</wp14:pctWidth>
                                    </wp14:sizeRelH>
                                    <wp14:sizeRelV relativeFrom="page">
                                      <wp14:pctHeight>0</wp14:pctHeight>
                                    </wp14:sizeRelV>
                                  </wp:anchor>
                                </w:drawing>
                              </w:r>
                            </w:p>
                          </w:tc>
                        </w:tr>
                      </w:tbl>
                      <w:p w14:paraId="4BEC6660" w14:textId="77777777" w:rsidR="003B5D0F" w:rsidRDefault="003B5D0F" w:rsidP="00711C65">
                        <w:pPr>
                          <w:jc w:val="both"/>
                          <w:rPr>
                            <w:rFonts w:asciiTheme="minorHAnsi" w:hAnsiTheme="minorHAnsi" w:cstheme="minorBidi"/>
                            <w:sz w:val="20"/>
                            <w:szCs w:val="20"/>
                          </w:rPr>
                        </w:pPr>
                      </w:p>
                    </w:tc>
                  </w:tr>
                  <w:tr w:rsidR="003B5D0F" w14:paraId="7FF40F41" w14:textId="77777777" w:rsidTr="003B5D0F">
                    <w:trPr>
                      <w:trHeight w:val="1350"/>
                    </w:trPr>
                    <w:tc>
                      <w:tcPr>
                        <w:tcW w:w="0" w:type="auto"/>
                        <w:shd w:val="clear" w:color="auto" w:fill="FFFFFF"/>
                        <w:vAlign w:val="center"/>
                        <w:hideMark/>
                      </w:tcPr>
                      <w:p w14:paraId="3D355C46" w14:textId="77777777" w:rsidR="003B5D0F" w:rsidRDefault="003B5D0F" w:rsidP="00711C65">
                        <w:pPr>
                          <w:spacing w:line="345" w:lineRule="atLeast"/>
                          <w:jc w:val="both"/>
                          <w:rPr>
                            <w:rFonts w:ascii="Arial" w:hAnsi="Arial" w:cs="Arial"/>
                            <w:b/>
                            <w:bCs/>
                            <w:color w:val="FFC000"/>
                            <w:sz w:val="30"/>
                            <w:szCs w:val="30"/>
                          </w:rPr>
                        </w:pPr>
                        <w:bookmarkStart w:id="0" w:name="Top_e"/>
                        <w:r>
                          <w:rPr>
                            <w:rFonts w:ascii="Arial" w:hAnsi="Arial" w:cs="Arial"/>
                            <w:b/>
                            <w:bCs/>
                            <w:color w:val="000000"/>
                            <w:sz w:val="30"/>
                            <w:szCs w:val="30"/>
                          </w:rPr>
                          <w:t xml:space="preserve">Vulnerability Assessment </w:t>
                        </w:r>
                        <w:r>
                          <w:rPr>
                            <w:rFonts w:ascii="Arial" w:hAnsi="Arial" w:cs="Arial"/>
                            <w:b/>
                            <w:bCs/>
                            <w:color w:val="FFC000"/>
                            <w:sz w:val="30"/>
                            <w:szCs w:val="30"/>
                          </w:rPr>
                          <w:t>Request Notification</w:t>
                        </w:r>
                      </w:p>
                      <w:p w14:paraId="4321BA47" w14:textId="77777777" w:rsidR="003B5D0F" w:rsidRDefault="003B5D0F" w:rsidP="00711C65">
                        <w:pPr>
                          <w:spacing w:line="300" w:lineRule="atLeast"/>
                          <w:jc w:val="both"/>
                          <w:rPr>
                            <w:rFonts w:ascii="Arial" w:hAnsi="Arial" w:cs="Arial"/>
                            <w:b/>
                            <w:bCs/>
                            <w:color w:val="000000"/>
                            <w:sz w:val="26"/>
                            <w:szCs w:val="26"/>
                          </w:rPr>
                        </w:pPr>
                        <w:r>
                          <w:rPr>
                            <w:rFonts w:ascii="Arial" w:hAnsi="Arial" w:cs="Arial"/>
                            <w:b/>
                            <w:bCs/>
                            <w:color w:val="000000"/>
                            <w:sz w:val="26"/>
                            <w:szCs w:val="26"/>
                          </w:rPr>
                          <w:t>Rules for Vulnerability Assessment</w:t>
                        </w:r>
                      </w:p>
                    </w:tc>
                    <w:bookmarkEnd w:id="0"/>
                  </w:tr>
                  <w:tr w:rsidR="003B5D0F" w14:paraId="0575FB25" w14:textId="77777777" w:rsidTr="003B5D0F">
                    <w:tc>
                      <w:tcPr>
                        <w:tcW w:w="0" w:type="auto"/>
                        <w:vAlign w:val="center"/>
                        <w:hideMark/>
                      </w:tcPr>
                      <w:tbl>
                        <w:tblPr>
                          <w:tblW w:w="10338" w:type="dxa"/>
                          <w:tblCellMar>
                            <w:left w:w="0" w:type="dxa"/>
                            <w:right w:w="0" w:type="dxa"/>
                          </w:tblCellMar>
                          <w:tblLook w:val="04A0" w:firstRow="1" w:lastRow="0" w:firstColumn="1" w:lastColumn="0" w:noHBand="0" w:noVBand="1"/>
                        </w:tblPr>
                        <w:tblGrid>
                          <w:gridCol w:w="10338"/>
                        </w:tblGrid>
                        <w:tr w:rsidR="003B5D0F" w14:paraId="28A244D4" w14:textId="77777777" w:rsidTr="00DF27F2">
                          <w:tc>
                            <w:tcPr>
                              <w:tcW w:w="10338" w:type="dxa"/>
                              <w:vAlign w:val="center"/>
                              <w:hideMark/>
                            </w:tcPr>
                            <w:p w14:paraId="50FA2C2B" w14:textId="4EAE790E" w:rsidR="003B5D0F" w:rsidRDefault="003B5D0F" w:rsidP="00711C65">
                              <w:pPr>
                                <w:pStyle w:val="ListParagraph"/>
                                <w:numPr>
                                  <w:ilvl w:val="0"/>
                                  <w:numId w:val="2"/>
                                </w:numPr>
                                <w:ind w:left="426" w:hanging="426"/>
                                <w:jc w:val="both"/>
                                <w:rPr>
                                  <w:lang w:val="en-US"/>
                                </w:rPr>
                              </w:pPr>
                              <w:r>
                                <w:rPr>
                                  <w:lang w:val="en-US"/>
                                </w:rPr>
                                <w:t>The completed Vulnerability Assessment Request Form must</w:t>
                              </w:r>
                              <w:r w:rsidRPr="00EC4341">
                                <w:rPr>
                                  <w:lang w:val="en-US"/>
                                </w:rPr>
                                <w:t xml:space="preserve"> be </w:t>
                              </w:r>
                              <w:r>
                                <w:rPr>
                                  <w:lang w:val="en-US"/>
                                </w:rPr>
                                <w:t xml:space="preserve">received by SAP </w:t>
                              </w:r>
                              <w:r w:rsidRPr="00EC4341">
                                <w:rPr>
                                  <w:lang w:val="en-US"/>
                                </w:rPr>
                                <w:t xml:space="preserve">at </w:t>
                              </w:r>
                              <w:r>
                                <w:rPr>
                                  <w:lang w:val="en-US"/>
                                </w:rPr>
                                <w:t xml:space="preserve">least </w:t>
                              </w:r>
                              <w:r w:rsidR="00C84236">
                                <w:rPr>
                                  <w:lang w:val="en-US"/>
                                </w:rPr>
                                <w:t>5</w:t>
                              </w:r>
                              <w:r w:rsidRPr="00EC4341">
                                <w:rPr>
                                  <w:lang w:val="en-US"/>
                                </w:rPr>
                                <w:t xml:space="preserve"> business days before the </w:t>
                              </w:r>
                              <w:r>
                                <w:rPr>
                                  <w:lang w:val="en-US"/>
                                </w:rPr>
                                <w:t>“Preferred Start Date” of the testing period</w:t>
                              </w:r>
                              <w:r w:rsidR="00C84236">
                                <w:rPr>
                                  <w:lang w:val="en-US"/>
                                </w:rPr>
                                <w:t xml:space="preserve"> for non-Business hours testing and at least 15 business days before “Preferred Start Date” for Business hours testing</w:t>
                              </w:r>
                              <w:r>
                                <w:rPr>
                                  <w:lang w:val="en-US"/>
                                </w:rPr>
                                <w:t>.</w:t>
                              </w:r>
                              <w:r w:rsidRPr="00EC4341">
                                <w:rPr>
                                  <w:lang w:val="en-US"/>
                                </w:rPr>
                                <w:t xml:space="preserve"> </w:t>
                              </w:r>
                              <w:r>
                                <w:rPr>
                                  <w:lang w:val="en-US"/>
                                </w:rPr>
                                <w:t xml:space="preserve">SAP operations team will </w:t>
                              </w:r>
                              <w:r w:rsidRPr="00EC4341">
                                <w:rPr>
                                  <w:lang w:val="en-US"/>
                                </w:rPr>
                                <w:t xml:space="preserve">review and </w:t>
                              </w:r>
                              <w:r>
                                <w:rPr>
                                  <w:lang w:val="en-US"/>
                                </w:rPr>
                                <w:t xml:space="preserve">notify the Authorized Contact of </w:t>
                              </w:r>
                              <w:r w:rsidRPr="00EC4341">
                                <w:rPr>
                                  <w:lang w:val="en-US"/>
                                </w:rPr>
                                <w:t xml:space="preserve">the </w:t>
                              </w:r>
                              <w:r>
                                <w:rPr>
                                  <w:lang w:val="en-US"/>
                                </w:rPr>
                                <w:t>approved testing period</w:t>
                              </w:r>
                              <w:r w:rsidRPr="00EC4341">
                                <w:rPr>
                                  <w:lang w:val="en-US"/>
                                </w:rPr>
                                <w:t xml:space="preserve">. </w:t>
                              </w:r>
                              <w:r>
                                <w:rPr>
                                  <w:lang w:val="en-US"/>
                                </w:rPr>
                                <w:t xml:space="preserve">Duration of testing period shall not exceed </w:t>
                              </w:r>
                              <w:r w:rsidR="00BE72F5">
                                <w:rPr>
                                  <w:lang w:val="en-US"/>
                                </w:rPr>
                                <w:t>3 weeks</w:t>
                              </w:r>
                              <w:r>
                                <w:rPr>
                                  <w:lang w:val="en-US"/>
                                </w:rPr>
                                <w:t xml:space="preserve">. Notwithstanding any approval of any testing period, </w:t>
                              </w:r>
                              <w:r w:rsidRPr="00EC4341">
                                <w:rPr>
                                  <w:lang w:val="en-US"/>
                                </w:rPr>
                                <w:t xml:space="preserve">SAP reserves the right </w:t>
                              </w:r>
                              <w:r>
                                <w:rPr>
                                  <w:lang w:val="en-US"/>
                                </w:rPr>
                                <w:t xml:space="preserve">at any time </w:t>
                              </w:r>
                              <w:r w:rsidRPr="00EC4341">
                                <w:rPr>
                                  <w:lang w:val="en-US"/>
                                </w:rPr>
                                <w:t>to reschedule</w:t>
                              </w:r>
                              <w:r>
                                <w:rPr>
                                  <w:lang w:val="en-US"/>
                                </w:rPr>
                                <w:t>, shorten</w:t>
                              </w:r>
                              <w:r w:rsidRPr="00EC4341">
                                <w:rPr>
                                  <w:lang w:val="en-US"/>
                                </w:rPr>
                                <w:t xml:space="preserve"> </w:t>
                              </w:r>
                              <w:r>
                                <w:rPr>
                                  <w:lang w:val="en-US"/>
                                </w:rPr>
                                <w:t xml:space="preserve">or cancel such testing period for any reason, including for </w:t>
                              </w:r>
                              <w:r w:rsidRPr="00EC4341">
                                <w:rPr>
                                  <w:lang w:val="en-US"/>
                                </w:rPr>
                                <w:t>maintenance activities.</w:t>
                              </w:r>
                            </w:p>
                            <w:p w14:paraId="287D5BB1" w14:textId="77777777" w:rsidR="003B5D0F" w:rsidRDefault="003B5D0F" w:rsidP="00711C65">
                              <w:pPr>
                                <w:pStyle w:val="ListParagraph"/>
                                <w:numPr>
                                  <w:ilvl w:val="0"/>
                                  <w:numId w:val="2"/>
                                </w:numPr>
                                <w:ind w:left="426" w:hanging="426"/>
                                <w:jc w:val="both"/>
                                <w:rPr>
                                  <w:lang w:val="en-US"/>
                                </w:rPr>
                              </w:pPr>
                              <w:r w:rsidRPr="00EC4341">
                                <w:rPr>
                                  <w:lang w:val="en-US"/>
                                </w:rPr>
                                <w:t xml:space="preserve">When planning for the </w:t>
                              </w:r>
                              <w:r>
                                <w:rPr>
                                  <w:lang w:val="en-US"/>
                                </w:rPr>
                                <w:t>test</w:t>
                              </w:r>
                              <w:r w:rsidRPr="00EC4341">
                                <w:rPr>
                                  <w:lang w:val="en-US"/>
                                </w:rPr>
                                <w:t xml:space="preserve">, </w:t>
                              </w:r>
                              <w:r>
                                <w:rPr>
                                  <w:lang w:val="en-US"/>
                                </w:rPr>
                                <w:t xml:space="preserve">please note that the permitted </w:t>
                              </w:r>
                              <w:r w:rsidRPr="00EC4341">
                                <w:rPr>
                                  <w:lang w:val="en-US"/>
                                </w:rPr>
                                <w:t xml:space="preserve">window for </w:t>
                              </w:r>
                              <w:r>
                                <w:rPr>
                                  <w:lang w:val="en-US"/>
                                </w:rPr>
                                <w:t xml:space="preserve">conducting </w:t>
                              </w:r>
                              <w:r w:rsidRPr="00EC4341">
                                <w:rPr>
                                  <w:lang w:val="en-US"/>
                                </w:rPr>
                                <w:t xml:space="preserve">tests is during non-business hours </w:t>
                              </w:r>
                              <w:r>
                                <w:rPr>
                                  <w:lang w:val="en-US"/>
                                </w:rPr>
                                <w:t>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09"/>
                              </w:tblGrid>
                              <w:tr w:rsidR="003B5D0F" w14:paraId="693267B9" w14:textId="77777777" w:rsidTr="00787074">
                                <w:tc>
                                  <w:tcPr>
                                    <w:tcW w:w="4814" w:type="dxa"/>
                                  </w:tcPr>
                                  <w:p w14:paraId="6C33689E" w14:textId="77777777" w:rsidR="003B5D0F" w:rsidRPr="008829DB" w:rsidRDefault="003B5D0F" w:rsidP="00711C65">
                                    <w:pPr>
                                      <w:pStyle w:val="ListParagraph"/>
                                      <w:ind w:left="0"/>
                                      <w:jc w:val="both"/>
                                      <w:rPr>
                                        <w:i/>
                                        <w:lang w:val="en-US"/>
                                      </w:rPr>
                                    </w:pPr>
                                    <w:r w:rsidRPr="008829DB">
                                      <w:rPr>
                                        <w:i/>
                                        <w:lang w:val="en-US"/>
                                      </w:rPr>
                                      <w:t>Data Center’s Local Time Zone:</w:t>
                                    </w:r>
                                  </w:p>
                                </w:tc>
                                <w:tc>
                                  <w:tcPr>
                                    <w:tcW w:w="4814" w:type="dxa"/>
                                  </w:tcPr>
                                  <w:p w14:paraId="0B417501" w14:textId="77777777" w:rsidR="003B5D0F" w:rsidRPr="008829DB" w:rsidRDefault="003B5D0F" w:rsidP="00711C65">
                                    <w:pPr>
                                      <w:pStyle w:val="ListParagraph"/>
                                      <w:ind w:left="0"/>
                                      <w:jc w:val="both"/>
                                      <w:rPr>
                                        <w:i/>
                                        <w:lang w:val="en-US"/>
                                      </w:rPr>
                                    </w:pPr>
                                    <w:r w:rsidRPr="008829DB">
                                      <w:rPr>
                                        <w:i/>
                                        <w:lang w:val="en-US"/>
                                      </w:rPr>
                                      <w:t>Permitted Window for Testing:</w:t>
                                    </w:r>
                                  </w:p>
                                </w:tc>
                              </w:tr>
                              <w:tr w:rsidR="003B5D0F" w14:paraId="659BDCAC" w14:textId="77777777" w:rsidTr="00787074">
                                <w:tc>
                                  <w:tcPr>
                                    <w:tcW w:w="4814" w:type="dxa"/>
                                  </w:tcPr>
                                  <w:p w14:paraId="4DC22588" w14:textId="77777777" w:rsidR="003B5D0F" w:rsidRDefault="003B5D0F" w:rsidP="00711C65">
                                    <w:pPr>
                                      <w:pStyle w:val="ListParagraph"/>
                                      <w:ind w:left="0"/>
                                      <w:jc w:val="both"/>
                                      <w:rPr>
                                        <w:lang w:val="en-US"/>
                                      </w:rPr>
                                    </w:pPr>
                                    <w:r>
                                      <w:rPr>
                                        <w:lang w:val="en-US"/>
                                      </w:rPr>
                                      <w:t>US Data Centers</w:t>
                                    </w:r>
                                  </w:p>
                                </w:tc>
                                <w:tc>
                                  <w:tcPr>
                                    <w:tcW w:w="4814" w:type="dxa"/>
                                  </w:tcPr>
                                  <w:p w14:paraId="2C26BFE1" w14:textId="77777777" w:rsidR="003B5D0F" w:rsidRDefault="003B5D0F" w:rsidP="00711C65">
                                    <w:pPr>
                                      <w:pStyle w:val="ListParagraph"/>
                                      <w:ind w:left="0"/>
                                      <w:jc w:val="both"/>
                                      <w:rPr>
                                        <w:lang w:val="en-US"/>
                                      </w:rPr>
                                    </w:pPr>
                                    <w:r w:rsidRPr="00EC4341">
                                      <w:rPr>
                                        <w:lang w:val="en-US"/>
                                      </w:rPr>
                                      <w:t>9:00PM to 5:00AM Pacific Time</w:t>
                                    </w:r>
                                  </w:p>
                                </w:tc>
                              </w:tr>
                              <w:tr w:rsidR="003B5D0F" w14:paraId="1330B1D0" w14:textId="77777777" w:rsidTr="00787074">
                                <w:tc>
                                  <w:tcPr>
                                    <w:tcW w:w="4814" w:type="dxa"/>
                                  </w:tcPr>
                                  <w:p w14:paraId="276DACB2" w14:textId="77777777" w:rsidR="003B5D0F" w:rsidRDefault="003B5D0F" w:rsidP="00711C65">
                                    <w:pPr>
                                      <w:pStyle w:val="ListParagraph"/>
                                      <w:ind w:left="0"/>
                                      <w:jc w:val="both"/>
                                      <w:rPr>
                                        <w:lang w:val="en-US"/>
                                      </w:rPr>
                                    </w:pPr>
                                    <w:r>
                                      <w:rPr>
                                        <w:lang w:val="en-US"/>
                                      </w:rPr>
                                      <w:t>EU Data Centers</w:t>
                                    </w:r>
                                  </w:p>
                                </w:tc>
                                <w:tc>
                                  <w:tcPr>
                                    <w:tcW w:w="4814" w:type="dxa"/>
                                  </w:tcPr>
                                  <w:p w14:paraId="3586E5F5" w14:textId="77777777" w:rsidR="003B5D0F" w:rsidRDefault="003B5D0F" w:rsidP="00711C65">
                                    <w:pPr>
                                      <w:pStyle w:val="ListParagraph"/>
                                      <w:ind w:left="0"/>
                                      <w:jc w:val="both"/>
                                      <w:rPr>
                                        <w:lang w:val="en-US"/>
                                      </w:rPr>
                                    </w:pPr>
                                    <w:r w:rsidRPr="00EC4341">
                                      <w:rPr>
                                        <w:lang w:val="en-US"/>
                                      </w:rPr>
                                      <w:t>9:00PM to 5:00AM Central European Time</w:t>
                                    </w:r>
                                  </w:p>
                                </w:tc>
                              </w:tr>
                              <w:tr w:rsidR="003B5D0F" w14:paraId="70CEB96D" w14:textId="77777777" w:rsidTr="00787074">
                                <w:tc>
                                  <w:tcPr>
                                    <w:tcW w:w="4814" w:type="dxa"/>
                                  </w:tcPr>
                                  <w:p w14:paraId="4E2228D1" w14:textId="77777777" w:rsidR="003B5D0F" w:rsidRDefault="003B5D0F" w:rsidP="00711C65">
                                    <w:pPr>
                                      <w:pStyle w:val="ListParagraph"/>
                                      <w:ind w:left="0"/>
                                      <w:jc w:val="both"/>
                                      <w:rPr>
                                        <w:lang w:val="en-US"/>
                                      </w:rPr>
                                    </w:pPr>
                                    <w:r>
                                      <w:rPr>
                                        <w:lang w:val="en-US"/>
                                      </w:rPr>
                                      <w:t>Asia Pacific Japan/Greater China Data Centers</w:t>
                                    </w:r>
                                  </w:p>
                                </w:tc>
                                <w:tc>
                                  <w:tcPr>
                                    <w:tcW w:w="4814" w:type="dxa"/>
                                  </w:tcPr>
                                  <w:p w14:paraId="0F84B2DE" w14:textId="77777777" w:rsidR="003B5D0F" w:rsidRPr="00FC497F" w:rsidRDefault="003B5D0F" w:rsidP="00711C65">
                                    <w:pPr>
                                      <w:pStyle w:val="ListParagraph"/>
                                      <w:ind w:left="0"/>
                                      <w:jc w:val="both"/>
                                      <w:rPr>
                                        <w:lang w:val="en-US"/>
                                      </w:rPr>
                                    </w:pPr>
                                    <w:r w:rsidRPr="00FC497F">
                                      <w:rPr>
                                        <w:lang w:val="en-US"/>
                                      </w:rPr>
                                      <w:t>9:00PM to 5:00AM Australian (EST) Time</w:t>
                                    </w:r>
                                  </w:p>
                                </w:tc>
                              </w:tr>
                            </w:tbl>
                            <w:p w14:paraId="45AC6F14" w14:textId="77777777" w:rsidR="003B5D0F" w:rsidRDefault="003B5D0F" w:rsidP="00711C65">
                              <w:pPr>
                                <w:pStyle w:val="ListParagraph"/>
                                <w:numPr>
                                  <w:ilvl w:val="0"/>
                                  <w:numId w:val="2"/>
                                </w:numPr>
                                <w:ind w:left="426" w:hanging="426"/>
                                <w:jc w:val="both"/>
                                <w:rPr>
                                  <w:lang w:val="en-US"/>
                                </w:rPr>
                              </w:pPr>
                              <w:r>
                                <w:rPr>
                                  <w:lang w:val="en-US"/>
                                </w:rPr>
                                <w:t>Testing outside of the above permitted windows is prohibited</w:t>
                              </w:r>
                              <w:r w:rsidR="00DF27F2">
                                <w:rPr>
                                  <w:lang w:val="en-US"/>
                                </w:rPr>
                                <w:t xml:space="preserve"> unless specifically requested as part of the scope</w:t>
                              </w:r>
                              <w:r>
                                <w:rPr>
                                  <w:lang w:val="en-US"/>
                                </w:rPr>
                                <w:t>.</w:t>
                              </w:r>
                            </w:p>
                            <w:p w14:paraId="032E1C13" w14:textId="77777777" w:rsidR="003B5D0F" w:rsidRDefault="003B5D0F" w:rsidP="00711C65">
                              <w:pPr>
                                <w:pStyle w:val="ListParagraph"/>
                                <w:numPr>
                                  <w:ilvl w:val="0"/>
                                  <w:numId w:val="2"/>
                                </w:numPr>
                                <w:ind w:left="426" w:hanging="426"/>
                                <w:jc w:val="both"/>
                                <w:rPr>
                                  <w:lang w:val="en-US"/>
                                </w:rPr>
                              </w:pPr>
                              <w:r w:rsidRPr="009C3543">
                                <w:rPr>
                                  <w:lang w:val="en-US"/>
                                </w:rPr>
                                <w:t>Customer</w:t>
                              </w:r>
                              <w:r>
                                <w:rPr>
                                  <w:b/>
                                  <w:lang w:val="en-US"/>
                                </w:rPr>
                                <w:t xml:space="preserve"> </w:t>
                              </w:r>
                              <w:r>
                                <w:rPr>
                                  <w:lang w:val="en-US"/>
                                </w:rPr>
                                <w:t>is permitted to conduct no more than one test per major release of the Cloud product or component being tested.</w:t>
                              </w:r>
                            </w:p>
                            <w:p w14:paraId="1AF7B529" w14:textId="77777777" w:rsidR="003B5D0F" w:rsidRDefault="003B5D0F" w:rsidP="00711C65">
                              <w:pPr>
                                <w:pStyle w:val="ListParagraph"/>
                                <w:numPr>
                                  <w:ilvl w:val="0"/>
                                  <w:numId w:val="2"/>
                                </w:numPr>
                                <w:ind w:left="426" w:hanging="426"/>
                                <w:jc w:val="both"/>
                                <w:rPr>
                                  <w:lang w:val="en-US"/>
                                </w:rPr>
                              </w:pPr>
                              <w:r>
                                <w:rPr>
                                  <w:lang w:val="en-US"/>
                                </w:rPr>
                                <w:t>Customer may only carry out v</w:t>
                              </w:r>
                              <w:r w:rsidRPr="00EC4341">
                                <w:rPr>
                                  <w:lang w:val="en-US"/>
                                </w:rPr>
                                <w:t xml:space="preserve">ulnerability </w:t>
                              </w:r>
                              <w:r>
                                <w:rPr>
                                  <w:lang w:val="en-US"/>
                                </w:rPr>
                                <w:t xml:space="preserve">testing </w:t>
                              </w:r>
                              <w:r w:rsidRPr="00EC4341">
                                <w:rPr>
                                  <w:lang w:val="en-US"/>
                                </w:rPr>
                                <w:t xml:space="preserve">on </w:t>
                              </w:r>
                              <w:r>
                                <w:rPr>
                                  <w:lang w:val="en-US"/>
                                </w:rPr>
                                <w:t xml:space="preserve">its own </w:t>
                              </w:r>
                              <w:r w:rsidRPr="009C3543">
                                <w:rPr>
                                  <w:lang w:val="en-US"/>
                                </w:rPr>
                                <w:t>Customer</w:t>
                              </w:r>
                              <w:r>
                                <w:rPr>
                                  <w:lang w:val="en-US"/>
                                </w:rPr>
                                <w:t>-</w:t>
                              </w:r>
                              <w:r w:rsidRPr="00EC4341">
                                <w:rPr>
                                  <w:lang w:val="en-US"/>
                                </w:rPr>
                                <w:t xml:space="preserve">specific </w:t>
                              </w:r>
                              <w:r>
                                <w:rPr>
                                  <w:lang w:val="en-US"/>
                                </w:rPr>
                                <w:t xml:space="preserve">Cloud solution </w:t>
                              </w:r>
                              <w:r w:rsidRPr="00EC4341">
                                <w:rPr>
                                  <w:lang w:val="en-US"/>
                                </w:rPr>
                                <w:t xml:space="preserve">landscape. Conducting </w:t>
                              </w:r>
                              <w:r>
                                <w:rPr>
                                  <w:lang w:val="en-US"/>
                                </w:rPr>
                                <w:t xml:space="preserve">scanning, penetration testing or other forms of security </w:t>
                              </w:r>
                              <w:r w:rsidRPr="00EC4341">
                                <w:rPr>
                                  <w:lang w:val="en-US"/>
                                </w:rPr>
                                <w:t xml:space="preserve">assessment on any other systems, </w:t>
                              </w:r>
                              <w:r>
                                <w:rPr>
                                  <w:lang w:val="en-US"/>
                                </w:rPr>
                                <w:t xml:space="preserve">including </w:t>
                              </w:r>
                              <w:r w:rsidRPr="00EC4341">
                                <w:rPr>
                                  <w:lang w:val="en-US"/>
                                </w:rPr>
                                <w:t xml:space="preserve">shared resources </w:t>
                              </w:r>
                              <w:r>
                                <w:rPr>
                                  <w:lang w:val="en-US"/>
                                </w:rPr>
                                <w:t xml:space="preserve">is </w:t>
                              </w:r>
                              <w:r w:rsidRPr="00EC4341">
                                <w:rPr>
                                  <w:lang w:val="en-US"/>
                                </w:rPr>
                                <w:t>strictly prohibited.</w:t>
                              </w:r>
                            </w:p>
                            <w:p w14:paraId="2BED987A" w14:textId="77777777" w:rsidR="003B5D0F" w:rsidRDefault="003B5D0F" w:rsidP="00711C65">
                              <w:pPr>
                                <w:pStyle w:val="ListParagraph"/>
                                <w:numPr>
                                  <w:ilvl w:val="0"/>
                                  <w:numId w:val="2"/>
                                </w:numPr>
                                <w:ind w:left="426" w:hanging="426"/>
                                <w:jc w:val="both"/>
                                <w:rPr>
                                  <w:lang w:val="en-US"/>
                                </w:rPr>
                              </w:pPr>
                              <w:r w:rsidRPr="00EC4341">
                                <w:rPr>
                                  <w:lang w:val="en-US"/>
                                </w:rPr>
                                <w:t xml:space="preserve">Each </w:t>
                              </w:r>
                              <w:r>
                                <w:rPr>
                                  <w:lang w:val="en-US"/>
                                </w:rPr>
                                <w:t xml:space="preserve">test </w:t>
                              </w:r>
                              <w:r w:rsidRPr="00EC4341">
                                <w:rPr>
                                  <w:lang w:val="en-US"/>
                                </w:rPr>
                                <w:t xml:space="preserve">request is unique and will be dealt with as such. A detailed scope of the testing </w:t>
                              </w:r>
                              <w:r>
                                <w:rPr>
                                  <w:lang w:val="en-US"/>
                                </w:rPr>
                                <w:t xml:space="preserve">plan </w:t>
                              </w:r>
                              <w:r w:rsidRPr="00EC4341">
                                <w:rPr>
                                  <w:lang w:val="en-US"/>
                                </w:rPr>
                                <w:t>must be provided and approved, before any testing can take place.</w:t>
                              </w:r>
                            </w:p>
                            <w:p w14:paraId="54FF3BBD" w14:textId="77777777" w:rsidR="003B5D0F" w:rsidRDefault="003B5D0F" w:rsidP="00711C65">
                              <w:pPr>
                                <w:pStyle w:val="ListParagraph"/>
                                <w:numPr>
                                  <w:ilvl w:val="0"/>
                                  <w:numId w:val="2"/>
                                </w:numPr>
                                <w:ind w:left="426" w:hanging="426"/>
                                <w:jc w:val="both"/>
                                <w:rPr>
                                  <w:lang w:val="en-US"/>
                                </w:rPr>
                              </w:pPr>
                              <w:r w:rsidRPr="00EC4341">
                                <w:rPr>
                                  <w:lang w:val="en-US"/>
                                </w:rPr>
                                <w:t xml:space="preserve">Vulnerability assessment </w:t>
                              </w:r>
                              <w:r>
                                <w:rPr>
                                  <w:lang w:val="en-US"/>
                                </w:rPr>
                                <w:t xml:space="preserve">must </w:t>
                              </w:r>
                              <w:r w:rsidRPr="00EC4341">
                                <w:rPr>
                                  <w:lang w:val="en-US"/>
                                </w:rPr>
                                <w:t xml:space="preserve">be non-load bearing. Denial of Service, Distributed Denial of Service and other destructive tests, including but not limited to DNS poisoning, root-kit installation are </w:t>
                              </w:r>
                              <w:r>
                                <w:rPr>
                                  <w:lang w:val="en-US"/>
                                </w:rPr>
                                <w:t xml:space="preserve">strictly </w:t>
                              </w:r>
                              <w:r w:rsidRPr="00EC4341">
                                <w:rPr>
                                  <w:lang w:val="en-US"/>
                                </w:rPr>
                                <w:t>prohibited.</w:t>
                              </w:r>
                            </w:p>
                            <w:p w14:paraId="5EA39D12" w14:textId="77777777" w:rsidR="003B5D0F" w:rsidRDefault="003B5D0F" w:rsidP="00711C65">
                              <w:pPr>
                                <w:pStyle w:val="ListParagraph"/>
                                <w:numPr>
                                  <w:ilvl w:val="0"/>
                                  <w:numId w:val="2"/>
                                </w:numPr>
                                <w:ind w:left="426" w:hanging="426"/>
                                <w:jc w:val="both"/>
                                <w:rPr>
                                  <w:lang w:val="en-US"/>
                                </w:rPr>
                              </w:pPr>
                              <w:r>
                                <w:rPr>
                                  <w:lang w:val="en-US"/>
                                </w:rPr>
                                <w:t xml:space="preserve">Customer must not (and shall ensure that any </w:t>
                              </w:r>
                              <w:r w:rsidRPr="00EC4341">
                                <w:rPr>
                                  <w:lang w:val="en-US"/>
                                </w:rPr>
                                <w:t xml:space="preserve">third party performing the </w:t>
                              </w:r>
                              <w:r>
                                <w:rPr>
                                  <w:lang w:val="en-US"/>
                                </w:rPr>
                                <w:t>tests on its behalf must not) disclose</w:t>
                              </w:r>
                              <w:r w:rsidRPr="00EC4341">
                                <w:rPr>
                                  <w:lang w:val="en-US"/>
                                </w:rPr>
                                <w:t xml:space="preserve"> the </w:t>
                              </w:r>
                              <w:r>
                                <w:rPr>
                                  <w:lang w:val="en-US"/>
                                </w:rPr>
                                <w:t xml:space="preserve">testing process, the test </w:t>
                              </w:r>
                              <w:r w:rsidRPr="00EC4341">
                                <w:rPr>
                                  <w:lang w:val="en-US"/>
                                </w:rPr>
                                <w:t xml:space="preserve">results </w:t>
                              </w:r>
                              <w:r>
                                <w:rPr>
                                  <w:lang w:val="en-US"/>
                                </w:rPr>
                                <w:t xml:space="preserve">or any issues found </w:t>
                              </w:r>
                              <w:r w:rsidRPr="00EC4341">
                                <w:rPr>
                                  <w:lang w:val="en-US"/>
                                </w:rPr>
                                <w:t xml:space="preserve">to any person or entity, </w:t>
                              </w:r>
                              <w:r>
                                <w:rPr>
                                  <w:lang w:val="en-US"/>
                                </w:rPr>
                                <w:t xml:space="preserve">except with the </w:t>
                              </w:r>
                              <w:r w:rsidRPr="00EC4341">
                                <w:rPr>
                                  <w:lang w:val="en-US"/>
                                </w:rPr>
                                <w:t xml:space="preserve">explicit written authorization from SAP. </w:t>
                              </w:r>
                              <w:r>
                                <w:rPr>
                                  <w:lang w:val="en-US"/>
                                </w:rPr>
                                <w:t xml:space="preserve">Such information must be treated as strictly confidential information. Nothing in this </w:t>
                              </w:r>
                              <w:r w:rsidRPr="00EC4341">
                                <w:rPr>
                                  <w:lang w:val="en-US"/>
                                </w:rPr>
                                <w:t>document authorize</w:t>
                              </w:r>
                              <w:r>
                                <w:rPr>
                                  <w:lang w:val="en-US"/>
                                </w:rPr>
                                <w:t>s</w:t>
                              </w:r>
                              <w:r w:rsidRPr="00EC4341">
                                <w:rPr>
                                  <w:lang w:val="en-US"/>
                                </w:rPr>
                                <w:t xml:space="preserve"> the results to be released.</w:t>
                              </w:r>
                            </w:p>
                            <w:p w14:paraId="45CDAC75" w14:textId="77777777" w:rsidR="003B5D0F" w:rsidRPr="00412448" w:rsidRDefault="003B5D0F" w:rsidP="00711C65">
                              <w:pPr>
                                <w:pStyle w:val="ListParagraph"/>
                                <w:numPr>
                                  <w:ilvl w:val="0"/>
                                  <w:numId w:val="2"/>
                                </w:numPr>
                                <w:ind w:left="426" w:hanging="426"/>
                                <w:jc w:val="both"/>
                                <w:rPr>
                                  <w:lang w:val="en-US"/>
                                </w:rPr>
                              </w:pPr>
                              <w:r w:rsidRPr="009C3543">
                                <w:rPr>
                                  <w:lang w:val="en-US"/>
                                </w:rPr>
                                <w:t>Customer</w:t>
                              </w:r>
                              <w:r>
                                <w:rPr>
                                  <w:b/>
                                  <w:lang w:val="en-US"/>
                                </w:rPr>
                                <w:t xml:space="preserve"> </w:t>
                              </w:r>
                              <w:r w:rsidRPr="00412448">
                                <w:rPr>
                                  <w:lang w:val="en-US"/>
                                </w:rPr>
                                <w:t>must provide SAP with a test report containing results of testing and any issues found, as well as the descriptions of the tests and findings, the severity rating and instructions to reproduce the issues (if any).</w:t>
                              </w:r>
                              <w:r>
                                <w:rPr>
                                  <w:lang w:val="en-US"/>
                                </w:rPr>
                                <w:t xml:space="preserve"> </w:t>
                              </w:r>
                              <w:r w:rsidRPr="00412448">
                                <w:rPr>
                                  <w:lang w:val="en-US"/>
                                </w:rPr>
                                <w:t>SAP may request that the results from the tests and issues found, if any, be summed up in the format provided by SAP (in an Microsoft Excel file).</w:t>
                              </w:r>
                            </w:p>
                            <w:p w14:paraId="7E5DD413" w14:textId="77777777" w:rsidR="003B5D0F" w:rsidRPr="00412448" w:rsidRDefault="003B5D0F" w:rsidP="00711C65">
                              <w:pPr>
                                <w:pStyle w:val="ListParagraph"/>
                                <w:numPr>
                                  <w:ilvl w:val="0"/>
                                  <w:numId w:val="2"/>
                                </w:numPr>
                                <w:ind w:left="426" w:hanging="426"/>
                                <w:jc w:val="both"/>
                                <w:rPr>
                                  <w:lang w:val="en-US"/>
                                </w:rPr>
                              </w:pPr>
                              <w:r>
                                <w:rPr>
                                  <w:lang w:val="en-US"/>
                                </w:rPr>
                                <w:t xml:space="preserve">SAP </w:t>
                              </w:r>
                              <w:r w:rsidRPr="00412448">
                                <w:rPr>
                                  <w:lang w:val="en-US"/>
                                </w:rPr>
                                <w:t>require</w:t>
                              </w:r>
                              <w:r>
                                <w:rPr>
                                  <w:lang w:val="en-US"/>
                                </w:rPr>
                                <w:t>s</w:t>
                              </w:r>
                              <w:r w:rsidRPr="00412448">
                                <w:rPr>
                                  <w:lang w:val="en-US"/>
                                </w:rPr>
                                <w:t xml:space="preserve"> the IP address (one or two, but not a range) of the scanning source, to temporarily white-list this IP address in our monitoring stations. The </w:t>
                              </w:r>
                              <w:r>
                                <w:rPr>
                                  <w:lang w:val="en-US"/>
                                </w:rPr>
                                <w:t xml:space="preserve">source </w:t>
                              </w:r>
                              <w:r w:rsidRPr="00412448">
                                <w:rPr>
                                  <w:lang w:val="en-US"/>
                                </w:rPr>
                                <w:t xml:space="preserve">IP address </w:t>
                              </w:r>
                              <w:r>
                                <w:rPr>
                                  <w:lang w:val="en-US"/>
                                </w:rPr>
                                <w:t xml:space="preserve">must </w:t>
                              </w:r>
                              <w:r w:rsidRPr="00412448">
                                <w:rPr>
                                  <w:lang w:val="en-US"/>
                                </w:rPr>
                                <w:t xml:space="preserve">be specified in this form. If there is any change of IP address (be it source or target), </w:t>
                              </w:r>
                              <w:r>
                                <w:rPr>
                                  <w:lang w:val="en-US"/>
                                </w:rPr>
                                <w:t xml:space="preserve">Customer </w:t>
                              </w:r>
                              <w:r w:rsidRPr="00412448">
                                <w:rPr>
                                  <w:lang w:val="en-US"/>
                                </w:rPr>
                                <w:t>must immediately stop further testing, inform SAP, and wait for SAP to approve the change of IP address before continuing with testing.</w:t>
                              </w:r>
                            </w:p>
                            <w:p w14:paraId="709DD95B" w14:textId="77777777" w:rsidR="003B5D0F" w:rsidRDefault="003B5D0F" w:rsidP="00711C65">
                              <w:pPr>
                                <w:pStyle w:val="ListParagraph"/>
                                <w:numPr>
                                  <w:ilvl w:val="0"/>
                                  <w:numId w:val="2"/>
                                </w:numPr>
                                <w:ind w:left="426" w:hanging="426"/>
                                <w:jc w:val="both"/>
                                <w:rPr>
                                  <w:lang w:val="en-US"/>
                                </w:rPr>
                              </w:pPr>
                              <w:r w:rsidRPr="00EC4341">
                                <w:rPr>
                                  <w:lang w:val="en-US"/>
                                </w:rPr>
                                <w:t xml:space="preserve">If the testing cannot be completed within the </w:t>
                              </w:r>
                              <w:r>
                                <w:rPr>
                                  <w:lang w:val="en-US"/>
                                </w:rPr>
                                <w:t>permitted testing period</w:t>
                              </w:r>
                              <w:r w:rsidRPr="00EC4341">
                                <w:rPr>
                                  <w:lang w:val="en-US"/>
                                </w:rPr>
                                <w:t xml:space="preserve">, SAP </w:t>
                              </w:r>
                              <w:r>
                                <w:rPr>
                                  <w:lang w:val="en-US"/>
                                </w:rPr>
                                <w:t xml:space="preserve">must </w:t>
                              </w:r>
                              <w:r w:rsidRPr="00EC4341">
                                <w:rPr>
                                  <w:lang w:val="en-US"/>
                                </w:rPr>
                                <w:t xml:space="preserve">be notified by email and </w:t>
                              </w:r>
                              <w:r>
                                <w:rPr>
                                  <w:lang w:val="en-US"/>
                                </w:rPr>
                                <w:t xml:space="preserve">Customer </w:t>
                              </w:r>
                              <w:r w:rsidRPr="00EC4341">
                                <w:rPr>
                                  <w:lang w:val="en-US"/>
                                </w:rPr>
                                <w:t xml:space="preserve">must </w:t>
                              </w:r>
                              <w:r>
                                <w:rPr>
                                  <w:lang w:val="en-US"/>
                                </w:rPr>
                                <w:t xml:space="preserve">stop and </w:t>
                              </w:r>
                              <w:r w:rsidRPr="00EC4341">
                                <w:rPr>
                                  <w:lang w:val="en-US"/>
                                </w:rPr>
                                <w:t xml:space="preserve">wait </w:t>
                              </w:r>
                              <w:r>
                                <w:rPr>
                                  <w:lang w:val="en-US"/>
                                </w:rPr>
                                <w:t xml:space="preserve">for SAP’s </w:t>
                              </w:r>
                              <w:r w:rsidRPr="00EC4341">
                                <w:rPr>
                                  <w:lang w:val="en-US"/>
                                </w:rPr>
                                <w:t xml:space="preserve">approval to extend the </w:t>
                              </w:r>
                              <w:r>
                                <w:rPr>
                                  <w:lang w:val="en-US"/>
                                </w:rPr>
                                <w:t>testing period before continuing with testing</w:t>
                              </w:r>
                              <w:r w:rsidRPr="00EC4341">
                                <w:rPr>
                                  <w:lang w:val="en-US"/>
                                </w:rPr>
                                <w:t>.</w:t>
                              </w:r>
                            </w:p>
                            <w:p w14:paraId="72A86D05" w14:textId="77777777" w:rsidR="003B5D0F" w:rsidRDefault="003B5D0F" w:rsidP="00711C65">
                              <w:pPr>
                                <w:pStyle w:val="ListParagraph"/>
                                <w:numPr>
                                  <w:ilvl w:val="0"/>
                                  <w:numId w:val="2"/>
                                </w:numPr>
                                <w:ind w:left="426" w:hanging="426"/>
                                <w:jc w:val="both"/>
                                <w:rPr>
                                  <w:lang w:val="en-US"/>
                                </w:rPr>
                              </w:pPr>
                              <w:r w:rsidRPr="009227CD">
                                <w:rPr>
                                  <w:lang w:val="en-US"/>
                                </w:rPr>
                                <w:t xml:space="preserve">Any deviation from the above will be considered an unauthorized attack against SAP infrastructure and be handled accordingly. This may result in a disruption of service to </w:t>
                              </w:r>
                              <w:r>
                                <w:rPr>
                                  <w:lang w:val="en-US"/>
                                </w:rPr>
                                <w:t>Customer</w:t>
                              </w:r>
                              <w:r w:rsidRPr="009227CD">
                                <w:rPr>
                                  <w:lang w:val="en-US"/>
                                </w:rPr>
                                <w:t xml:space="preserve">. In certain jurisdictions, such actions may also be considered a criminal offence under computer misuse </w:t>
                              </w:r>
                              <w:r>
                                <w:rPr>
                                  <w:lang w:val="en-US"/>
                                </w:rPr>
                                <w:t xml:space="preserve">or similar </w:t>
                              </w:r>
                              <w:r w:rsidRPr="009227CD">
                                <w:rPr>
                                  <w:lang w:val="en-US"/>
                                </w:rPr>
                                <w:t>legislations.</w:t>
                              </w:r>
                            </w:p>
                            <w:p w14:paraId="1B4A8E73" w14:textId="77777777" w:rsidR="00711C65" w:rsidRDefault="00711C65" w:rsidP="00711C65">
                              <w:pPr>
                                <w:pStyle w:val="ListParagraph"/>
                                <w:ind w:left="426"/>
                                <w:jc w:val="both"/>
                                <w:rPr>
                                  <w:lang w:val="en-US"/>
                                </w:rPr>
                              </w:pPr>
                            </w:p>
                            <w:p w14:paraId="53428417" w14:textId="77777777" w:rsidR="00711C65" w:rsidRDefault="00711C65" w:rsidP="00711C65">
                              <w:pPr>
                                <w:pStyle w:val="ListParagraph"/>
                                <w:ind w:left="426"/>
                                <w:jc w:val="both"/>
                                <w:rPr>
                                  <w:lang w:val="en-US"/>
                                </w:rPr>
                              </w:pPr>
                            </w:p>
                            <w:p w14:paraId="383A5012" w14:textId="16479597" w:rsidR="00636D91" w:rsidRDefault="00636D91" w:rsidP="00711C65">
                              <w:pPr>
                                <w:pStyle w:val="ListParagraph"/>
                                <w:numPr>
                                  <w:ilvl w:val="0"/>
                                  <w:numId w:val="2"/>
                                </w:numPr>
                                <w:ind w:left="426" w:hanging="426"/>
                                <w:jc w:val="both"/>
                                <w:rPr>
                                  <w:lang w:val="en-US"/>
                                </w:rPr>
                              </w:pPr>
                              <w:r>
                                <w:rPr>
                                  <w:lang w:val="en-US"/>
                                </w:rPr>
                                <w:lastRenderedPageBreak/>
                                <w:t>Product specific restrictions:</w:t>
                              </w:r>
                            </w:p>
                            <w:p w14:paraId="0DA5CA4E" w14:textId="39D25613" w:rsidR="00636D91" w:rsidRDefault="003070F9" w:rsidP="00711C65">
                              <w:pPr>
                                <w:pStyle w:val="ListParagraph"/>
                                <w:numPr>
                                  <w:ilvl w:val="1"/>
                                  <w:numId w:val="2"/>
                                </w:numPr>
                                <w:jc w:val="both"/>
                                <w:rPr>
                                  <w:lang w:val="en-US"/>
                                </w:rPr>
                              </w:pPr>
                              <w:r>
                                <w:rPr>
                                  <w:lang w:val="en-US"/>
                                </w:rPr>
                                <w:t>Business by Design (ByD) – Penetration testing approval only for non-production environment.</w:t>
                              </w:r>
                            </w:p>
                            <w:p w14:paraId="426B477C" w14:textId="21B66A89" w:rsidR="003B5D0F" w:rsidRPr="00E224E3" w:rsidRDefault="00711C65" w:rsidP="00E224E3">
                              <w:pPr>
                                <w:pStyle w:val="ListParagraph"/>
                                <w:numPr>
                                  <w:ilvl w:val="1"/>
                                  <w:numId w:val="2"/>
                                </w:numPr>
                                <w:jc w:val="both"/>
                                <w:rPr>
                                  <w:lang w:val="en-US"/>
                                </w:rPr>
                              </w:pPr>
                              <w:r>
                                <w:rPr>
                                  <w:lang w:val="en-US"/>
                                </w:rPr>
                                <w:t>Success Factors (HXM) –  Business hours testing request needs15 business days for processing.</w:t>
                              </w:r>
                              <w:bookmarkStart w:id="1" w:name="_GoBack"/>
                              <w:bookmarkEnd w:id="1"/>
                              <w:r w:rsidR="003B5D0F" w:rsidRPr="00E224E3">
                                <w:rPr>
                                  <w:rFonts w:cs="Arial"/>
                                  <w:color w:val="222222"/>
                                  <w:sz w:val="18"/>
                                  <w:szCs w:val="18"/>
                                </w:rPr>
                                <w:br/>
                              </w:r>
                            </w:p>
                          </w:tc>
                          <w:bookmarkStart w:id="2" w:name="Top_d"/>
                          <w:bookmarkEnd w:id="2"/>
                        </w:tr>
                        <w:tr w:rsidR="00636D91" w14:paraId="427C5964" w14:textId="77777777" w:rsidTr="00DF27F2">
                          <w:tc>
                            <w:tcPr>
                              <w:tcW w:w="10338" w:type="dxa"/>
                              <w:vAlign w:val="center"/>
                            </w:tcPr>
                            <w:p w14:paraId="659FE761" w14:textId="0E177EB8" w:rsidR="00636D91" w:rsidRPr="00636D91" w:rsidRDefault="00711C65" w:rsidP="00711C65">
                              <w:pPr>
                                <w:jc w:val="both"/>
                              </w:pPr>
                              <w:r>
                                <w:rPr>
                                  <w:rFonts w:cs="Arial"/>
                                  <w:noProof/>
                                  <w:color w:val="222222"/>
                                  <w:sz w:val="18"/>
                                  <w:szCs w:val="18"/>
                                </w:rPr>
                                <w:lastRenderedPageBreak/>
                                <w:drawing>
                                  <wp:inline distT="0" distB="0" distL="0" distR="0" wp14:anchorId="366500A2" wp14:editId="2ED3C714">
                                    <wp:extent cx="6522720" cy="45719"/>
                                    <wp:effectExtent l="0" t="0" r="0" b="0"/>
                                    <wp:docPr id="1" name="Picture 1"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ivi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7471" cy="47014"/>
                                            </a:xfrm>
                                            <a:prstGeom prst="rect">
                                              <a:avLst/>
                                            </a:prstGeom>
                                            <a:noFill/>
                                            <a:ln>
                                              <a:noFill/>
                                            </a:ln>
                                          </pic:spPr>
                                        </pic:pic>
                                      </a:graphicData>
                                    </a:graphic>
                                  </wp:inline>
                                </w:drawing>
                              </w:r>
                            </w:p>
                          </w:tc>
                        </w:tr>
                        <w:tr w:rsidR="00636D91" w14:paraId="1B7EAE33" w14:textId="77777777" w:rsidTr="00DF27F2">
                          <w:tc>
                            <w:tcPr>
                              <w:tcW w:w="10338" w:type="dxa"/>
                              <w:vAlign w:val="center"/>
                            </w:tcPr>
                            <w:p w14:paraId="200C8608" w14:textId="313DFDAA" w:rsidR="00636D91" w:rsidRPr="00636D91" w:rsidRDefault="00636D91" w:rsidP="00711C65">
                              <w:pPr>
                                <w:jc w:val="both"/>
                              </w:pPr>
                            </w:p>
                          </w:tc>
                        </w:tr>
                      </w:tbl>
                      <w:p w14:paraId="74373841" w14:textId="77777777" w:rsidR="003B5D0F" w:rsidRDefault="003B5D0F" w:rsidP="00711C65">
                        <w:pPr>
                          <w:jc w:val="both"/>
                          <w:rPr>
                            <w:rFonts w:asciiTheme="minorHAnsi" w:hAnsiTheme="minorHAnsi" w:cstheme="minorBidi"/>
                            <w:sz w:val="20"/>
                            <w:szCs w:val="20"/>
                          </w:rPr>
                        </w:pPr>
                      </w:p>
                    </w:tc>
                  </w:tr>
                  <w:tr w:rsidR="003B5D0F" w14:paraId="4FAD99C4" w14:textId="77777777" w:rsidTr="003B5D0F">
                    <w:trPr>
                      <w:trHeight w:val="240"/>
                    </w:trPr>
                    <w:tc>
                      <w:tcPr>
                        <w:tcW w:w="10170" w:type="dxa"/>
                        <w:vAlign w:val="center"/>
                        <w:hideMark/>
                      </w:tcPr>
                      <w:p w14:paraId="1A3072B7" w14:textId="77777777" w:rsidR="003B5D0F" w:rsidRDefault="003B5D0F" w:rsidP="00711C65">
                        <w:pPr>
                          <w:jc w:val="both"/>
                          <w:rPr>
                            <w:rFonts w:ascii="Times New Roman" w:hAnsi="Times New Roman" w:cs="Times New Roman"/>
                            <w:color w:val="222222"/>
                            <w:sz w:val="24"/>
                            <w:szCs w:val="24"/>
                          </w:rPr>
                        </w:pPr>
                        <w:r>
                          <w:rPr>
                            <w:rFonts w:ascii="Arial" w:hAnsi="Arial" w:cs="Arial"/>
                            <w:color w:val="666666"/>
                            <w:sz w:val="15"/>
                            <w:szCs w:val="15"/>
                          </w:rPr>
                          <w:lastRenderedPageBreak/>
                          <w:t>  </w:t>
                        </w:r>
                        <w:hyperlink r:id="rId9" w:tgtFrame="_blank" w:history="1">
                          <w:r>
                            <w:rPr>
                              <w:rStyle w:val="Hyperlink"/>
                              <w:rFonts w:ascii="Arial" w:hAnsi="Arial" w:cs="Arial"/>
                              <w:color w:val="7F7F7F"/>
                              <w:sz w:val="15"/>
                              <w:szCs w:val="15"/>
                              <w:u w:val="none"/>
                            </w:rPr>
                            <w:t>Copyright/Trademark</w:t>
                          </w:r>
                        </w:hyperlink>
                        <w:r>
                          <w:rPr>
                            <w:rFonts w:ascii="Arial" w:hAnsi="Arial" w:cs="Arial"/>
                            <w:color w:val="666666"/>
                            <w:sz w:val="15"/>
                            <w:szCs w:val="15"/>
                          </w:rPr>
                          <w:t>  |  </w:t>
                        </w:r>
                        <w:hyperlink r:id="rId10" w:tgtFrame="_blank" w:history="1">
                          <w:r>
                            <w:rPr>
                              <w:rStyle w:val="Hyperlink"/>
                              <w:rFonts w:ascii="Arial" w:hAnsi="Arial" w:cs="Arial"/>
                              <w:color w:val="7F7F7F"/>
                              <w:sz w:val="15"/>
                              <w:szCs w:val="15"/>
                              <w:u w:val="none"/>
                            </w:rPr>
                            <w:t>Privacy</w:t>
                          </w:r>
                        </w:hyperlink>
                        <w:r>
                          <w:rPr>
                            <w:rFonts w:ascii="Arial" w:hAnsi="Arial" w:cs="Arial"/>
                            <w:color w:val="666666"/>
                            <w:sz w:val="15"/>
                            <w:szCs w:val="15"/>
                          </w:rPr>
                          <w:t>  |  </w:t>
                        </w:r>
                        <w:hyperlink r:id="rId11" w:tgtFrame="_blank" w:history="1">
                          <w:r>
                            <w:rPr>
                              <w:rStyle w:val="Hyperlink"/>
                              <w:rFonts w:ascii="Arial" w:hAnsi="Arial" w:cs="Arial"/>
                              <w:color w:val="7F7F7F"/>
                              <w:sz w:val="15"/>
                              <w:szCs w:val="15"/>
                              <w:u w:val="none"/>
                            </w:rPr>
                            <w:t>Impressum</w:t>
                          </w:r>
                        </w:hyperlink>
                        <w:r>
                          <w:rPr>
                            <w:rFonts w:ascii="Arial" w:hAnsi="Arial" w:cs="Arial"/>
                            <w:color w:val="666666"/>
                            <w:sz w:val="15"/>
                            <w:szCs w:val="15"/>
                          </w:rPr>
                          <w:t>  </w:t>
                        </w:r>
                      </w:p>
                    </w:tc>
                  </w:tr>
                </w:tbl>
                <w:p w14:paraId="51F0D263" w14:textId="77777777" w:rsidR="003B5D0F" w:rsidRDefault="003B5D0F" w:rsidP="00711C65">
                  <w:pPr>
                    <w:jc w:val="both"/>
                    <w:rPr>
                      <w:rFonts w:asciiTheme="minorHAnsi" w:hAnsiTheme="minorHAnsi" w:cstheme="minorBidi"/>
                      <w:sz w:val="20"/>
                      <w:szCs w:val="20"/>
                    </w:rPr>
                  </w:pPr>
                </w:p>
              </w:tc>
              <w:tc>
                <w:tcPr>
                  <w:tcW w:w="375" w:type="dxa"/>
                  <w:vAlign w:val="center"/>
                  <w:hideMark/>
                </w:tcPr>
                <w:p w14:paraId="1EC4062B" w14:textId="77777777" w:rsidR="003B5D0F" w:rsidRDefault="003B5D0F" w:rsidP="00711C65">
                  <w:pPr>
                    <w:jc w:val="both"/>
                    <w:rPr>
                      <w:rFonts w:ascii="Times New Roman" w:hAnsi="Times New Roman" w:cs="Times New Roman"/>
                      <w:color w:val="222222"/>
                      <w:sz w:val="24"/>
                      <w:szCs w:val="24"/>
                    </w:rPr>
                  </w:pPr>
                  <w:r>
                    <w:rPr>
                      <w:rFonts w:ascii="Times New Roman" w:hAnsi="Times New Roman" w:cs="Times New Roman"/>
                      <w:color w:val="222222"/>
                      <w:sz w:val="2"/>
                      <w:szCs w:val="2"/>
                    </w:rPr>
                    <w:lastRenderedPageBreak/>
                    <w:t> </w:t>
                  </w:r>
                  <w:r>
                    <w:rPr>
                      <w:rFonts w:ascii="Times New Roman" w:hAnsi="Times New Roman" w:cs="Times New Roman"/>
                      <w:color w:val="222222"/>
                      <w:sz w:val="24"/>
                      <w:szCs w:val="24"/>
                    </w:rPr>
                    <w:t xml:space="preserve"> </w:t>
                  </w:r>
                </w:p>
              </w:tc>
            </w:tr>
          </w:tbl>
          <w:p w14:paraId="27350594" w14:textId="77777777" w:rsidR="003B5D0F" w:rsidRDefault="003B5D0F" w:rsidP="00711C65">
            <w:pPr>
              <w:jc w:val="both"/>
              <w:rPr>
                <w:rFonts w:asciiTheme="minorHAnsi" w:hAnsiTheme="minorHAnsi" w:cstheme="minorBidi"/>
                <w:sz w:val="20"/>
                <w:szCs w:val="20"/>
              </w:rPr>
            </w:pPr>
          </w:p>
        </w:tc>
      </w:tr>
    </w:tbl>
    <w:p w14:paraId="4E3FF1C3" w14:textId="77777777" w:rsidR="003B5D0F" w:rsidRDefault="003B5D0F" w:rsidP="00711C65">
      <w:pPr>
        <w:jc w:val="both"/>
      </w:pPr>
    </w:p>
    <w:p w14:paraId="062AA048" w14:textId="232824DE" w:rsidR="0045433D" w:rsidRDefault="0045433D" w:rsidP="00711C65">
      <w:pPr>
        <w:jc w:val="both"/>
      </w:pPr>
    </w:p>
    <w:sectPr w:rsidR="0045433D" w:rsidSect="003B5D0F">
      <w:pgSz w:w="12240" w:h="15840"/>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21642" w14:textId="77777777" w:rsidR="008651E7" w:rsidRDefault="008651E7" w:rsidP="003B5D0F">
      <w:r>
        <w:separator/>
      </w:r>
    </w:p>
  </w:endnote>
  <w:endnote w:type="continuationSeparator" w:id="0">
    <w:p w14:paraId="20590F8D" w14:textId="77777777" w:rsidR="008651E7" w:rsidRDefault="008651E7" w:rsidP="003B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B65AE" w14:textId="77777777" w:rsidR="008651E7" w:rsidRDefault="008651E7" w:rsidP="003B5D0F">
      <w:r>
        <w:separator/>
      </w:r>
    </w:p>
  </w:footnote>
  <w:footnote w:type="continuationSeparator" w:id="0">
    <w:p w14:paraId="53B9AE12" w14:textId="77777777" w:rsidR="008651E7" w:rsidRDefault="008651E7" w:rsidP="003B5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pt;height:6.6pt" o:bullet="t">
        <v:imagedata r:id="rId1" o:title="clip_image001"/>
      </v:shape>
    </w:pict>
  </w:numPicBullet>
  <w:abstractNum w:abstractNumId="0" w15:restartNumberingAfterBreak="0">
    <w:nsid w:val="209657DA"/>
    <w:multiLevelType w:val="multilevel"/>
    <w:tmpl w:val="34342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PicBulletId w:val="0"/>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D0630F"/>
    <w:multiLevelType w:val="hybridMultilevel"/>
    <w:tmpl w:val="0710367E"/>
    <w:lvl w:ilvl="0" w:tplc="04090019">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0F"/>
    <w:rsid w:val="003070F9"/>
    <w:rsid w:val="003B5D0F"/>
    <w:rsid w:val="0045433D"/>
    <w:rsid w:val="00636D91"/>
    <w:rsid w:val="00711C65"/>
    <w:rsid w:val="007138C8"/>
    <w:rsid w:val="008651E7"/>
    <w:rsid w:val="00BE72F5"/>
    <w:rsid w:val="00C84236"/>
    <w:rsid w:val="00DF27F2"/>
    <w:rsid w:val="00E224E3"/>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1A67B"/>
  <w15:chartTrackingRefBased/>
  <w15:docId w15:val="{92D1ECB4-62A2-42C1-9BDD-70053143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D0F"/>
    <w:pPr>
      <w:spacing w:after="0" w:line="240" w:lineRule="auto"/>
    </w:pPr>
    <w:rPr>
      <w:rFonts w:ascii="Calibri" w:hAnsi="Calibri" w:cs="Calibri"/>
    </w:rPr>
  </w:style>
  <w:style w:type="paragraph" w:styleId="Heading1">
    <w:name w:val="heading 1"/>
    <w:basedOn w:val="Normal"/>
    <w:next w:val="Normal"/>
    <w:link w:val="Heading1Char"/>
    <w:uiPriority w:val="9"/>
    <w:qFormat/>
    <w:rsid w:val="003B5D0F"/>
    <w:pPr>
      <w:keepNext/>
      <w:keepLines/>
      <w:pageBreakBefore/>
      <w:spacing w:before="360" w:after="120"/>
      <w:outlineLvl w:val="0"/>
    </w:pPr>
    <w:rPr>
      <w:rFonts w:ascii="Arial" w:eastAsia="Times New Roman" w:hAnsi="Arial" w:cs="Times New Roman"/>
      <w:b/>
      <w:bCs/>
      <w:caps/>
      <w:sz w:val="20"/>
      <w:szCs w:val="2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5D0F"/>
    <w:rPr>
      <w:color w:val="0563C1" w:themeColor="hyperlink"/>
      <w:u w:val="single"/>
    </w:rPr>
  </w:style>
  <w:style w:type="paragraph" w:styleId="BalloonText">
    <w:name w:val="Balloon Text"/>
    <w:basedOn w:val="Normal"/>
    <w:link w:val="BalloonTextChar"/>
    <w:uiPriority w:val="99"/>
    <w:semiHidden/>
    <w:unhideWhenUsed/>
    <w:rsid w:val="003B5D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D0F"/>
    <w:rPr>
      <w:rFonts w:ascii="Segoe UI" w:hAnsi="Segoe UI" w:cs="Segoe UI"/>
      <w:sz w:val="18"/>
      <w:szCs w:val="18"/>
    </w:rPr>
  </w:style>
  <w:style w:type="character" w:customStyle="1" w:styleId="Heading1Char">
    <w:name w:val="Heading 1 Char"/>
    <w:basedOn w:val="DefaultParagraphFont"/>
    <w:link w:val="Heading1"/>
    <w:uiPriority w:val="9"/>
    <w:rsid w:val="003B5D0F"/>
    <w:rPr>
      <w:rFonts w:ascii="Arial" w:eastAsia="Times New Roman" w:hAnsi="Arial" w:cs="Times New Roman"/>
      <w:b/>
      <w:bCs/>
      <w:caps/>
      <w:sz w:val="20"/>
      <w:szCs w:val="28"/>
      <w:lang w:val="de-DE"/>
    </w:rPr>
  </w:style>
  <w:style w:type="paragraph" w:styleId="ListParagraph">
    <w:name w:val="List Paragraph"/>
    <w:basedOn w:val="Normal"/>
    <w:uiPriority w:val="34"/>
    <w:rsid w:val="003B5D0F"/>
    <w:pPr>
      <w:spacing w:before="120"/>
      <w:ind w:left="720"/>
    </w:pPr>
    <w:rPr>
      <w:rFonts w:ascii="Arial" w:eastAsia="Calibri" w:hAnsi="Arial" w:cs="Times New Roman"/>
      <w:sz w:val="20"/>
      <w:lang w:val="de-DE"/>
    </w:rPr>
  </w:style>
  <w:style w:type="table" w:styleId="TableGrid">
    <w:name w:val="Table Grid"/>
    <w:basedOn w:val="TableNormal"/>
    <w:uiPriority w:val="59"/>
    <w:rsid w:val="003B5D0F"/>
    <w:pPr>
      <w:spacing w:after="0" w:line="240" w:lineRule="auto"/>
    </w:pPr>
    <w:rPr>
      <w:rFonts w:ascii="Calibri" w:eastAsia="Calibri"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6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p.com/about/legal/impressum.html" TargetMode="External"/><Relationship Id="rId5" Type="http://schemas.openxmlformats.org/officeDocument/2006/relationships/footnotes" Target="footnotes.xml"/><Relationship Id="rId10" Type="http://schemas.openxmlformats.org/officeDocument/2006/relationships/hyperlink" Target="http://www.sap.com/about/legal/privacy.html" TargetMode="External"/><Relationship Id="rId4" Type="http://schemas.openxmlformats.org/officeDocument/2006/relationships/webSettings" Target="webSettings.xml"/><Relationship Id="rId9" Type="http://schemas.openxmlformats.org/officeDocument/2006/relationships/hyperlink" Target="http://www.sap.com/about/legal/copyright.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Steven</dc:creator>
  <cp:keywords/>
  <dc:description/>
  <cp:lastModifiedBy>Rao, Karthikeya</cp:lastModifiedBy>
  <cp:revision>3</cp:revision>
  <cp:lastPrinted>2020-02-17T16:19:00Z</cp:lastPrinted>
  <dcterms:created xsi:type="dcterms:W3CDTF">2020-12-10T13:55:00Z</dcterms:created>
  <dcterms:modified xsi:type="dcterms:W3CDTF">2021-02-12T07:56:00Z</dcterms:modified>
</cp:coreProperties>
</file>